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E08E" w14:textId="4FCEADD1" w:rsidR="005678A2" w:rsidRDefault="005E0478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Risk Rating 2.0 – Act Now!</w:t>
      </w:r>
    </w:p>
    <w:p w14:paraId="2DC89608" w14:textId="14F7966B" w:rsidR="00491B7F" w:rsidRDefault="00491B7F" w:rsidP="00491B7F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</w:t>
      </w:r>
      <w:r w:rsidR="00065921">
        <w:rPr>
          <w:rFonts w:ascii="Arial" w:hAnsi="Arial" w:cs="Arial"/>
          <w:b/>
        </w:rPr>
        <w:t xml:space="preserve">It’s Not Too Late to </w:t>
      </w:r>
      <w:r w:rsidR="005E0478">
        <w:rPr>
          <w:rFonts w:ascii="Arial" w:hAnsi="Arial" w:cs="Arial"/>
          <w:b/>
        </w:rPr>
        <w:t>Purchase a Flood Insurance Policy</w:t>
      </w:r>
    </w:p>
    <w:p w14:paraId="033080B5" w14:textId="77777777"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208618271"/>
          <w:placeholder>
            <w:docPart w:val="4940031EE03841DCBB8F683D55522C7F"/>
          </w:placeholder>
          <w:showingPlcHdr/>
        </w:sdtPr>
        <w:sdtEndPr/>
        <w:sdtContent>
          <w:r w:rsidRPr="00065921">
            <w:rPr>
              <w:rStyle w:val="PlaceholderText"/>
              <w:rFonts w:ascii="Arial" w:hAnsi="Arial" w:cs="Arial"/>
            </w:rPr>
            <w:t>Insured Name Here</w:t>
          </w:r>
        </w:sdtContent>
      </w:sdt>
      <w:r>
        <w:rPr>
          <w:rFonts w:ascii="Arial" w:hAnsi="Arial" w:cs="Arial"/>
        </w:rPr>
        <w:t>,</w:t>
      </w:r>
    </w:p>
    <w:p w14:paraId="76C66463" w14:textId="7A95FB26"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Flooding can happen at any time, anywhere. I am reaching out to remind you that I am available to discuss any coverage questions, provide information about your property’s flood risk and protection options available.</w:t>
      </w:r>
    </w:p>
    <w:p w14:paraId="66D0DD42" w14:textId="5A24A70F" w:rsidR="005E0478" w:rsidRDefault="005E0478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 xml:space="preserve">With FEMA’s Risk Rating 2.0 being implemented October 1, 2021, many property owners will see an increase in flood premiums. Purchasing a flood insurance policy that is effective prior to October 1, 2021 </w:t>
      </w:r>
      <w:r w:rsidR="009C17F2">
        <w:rPr>
          <w:rFonts w:ascii="Arial" w:hAnsi="Arial" w:cs="Arial"/>
        </w:rPr>
        <w:t xml:space="preserve">allows property owners to take advantage of </w:t>
      </w:r>
      <w:r>
        <w:rPr>
          <w:rFonts w:ascii="Arial" w:hAnsi="Arial" w:cs="Arial"/>
        </w:rPr>
        <w:t>benefits like:</w:t>
      </w:r>
    </w:p>
    <w:p w14:paraId="61A265F2" w14:textId="0494568A" w:rsidR="005E0478" w:rsidRDefault="005E0478" w:rsidP="005E0478">
      <w:pPr>
        <w:pStyle w:val="ListParagraph"/>
        <w:numPr>
          <w:ilvl w:val="0"/>
          <w:numId w:val="2"/>
        </w:numPr>
        <w:ind w:right="431"/>
        <w:rPr>
          <w:rFonts w:ascii="Arial" w:hAnsi="Arial" w:cs="Arial"/>
        </w:rPr>
      </w:pPr>
      <w:r>
        <w:rPr>
          <w:rFonts w:ascii="Arial" w:hAnsi="Arial" w:cs="Arial"/>
        </w:rPr>
        <w:t>Legacy rating scenarios, like Preferred Risk Policies</w:t>
      </w:r>
    </w:p>
    <w:p w14:paraId="49C894BE" w14:textId="6EB8E0A8" w:rsidR="005E0478" w:rsidRDefault="005E0478" w:rsidP="005E0478">
      <w:pPr>
        <w:pStyle w:val="ListParagraph"/>
        <w:numPr>
          <w:ilvl w:val="0"/>
          <w:numId w:val="2"/>
        </w:numPr>
        <w:ind w:right="431"/>
        <w:rPr>
          <w:rFonts w:ascii="Arial" w:hAnsi="Arial" w:cs="Arial"/>
        </w:rPr>
      </w:pPr>
      <w:r>
        <w:rPr>
          <w:rFonts w:ascii="Arial" w:hAnsi="Arial" w:cs="Arial"/>
        </w:rPr>
        <w:t>Statutory annual premium increase caps, and</w:t>
      </w:r>
    </w:p>
    <w:p w14:paraId="458F8345" w14:textId="3024B3F6" w:rsidR="005E0478" w:rsidRPr="005E0478" w:rsidRDefault="005E0478" w:rsidP="005E0478">
      <w:pPr>
        <w:pStyle w:val="ListParagraph"/>
        <w:numPr>
          <w:ilvl w:val="0"/>
          <w:numId w:val="2"/>
        </w:numPr>
        <w:ind w:right="431"/>
        <w:rPr>
          <w:rFonts w:ascii="Arial" w:hAnsi="Arial" w:cs="Arial"/>
        </w:rPr>
      </w:pPr>
      <w:r>
        <w:rPr>
          <w:rFonts w:ascii="Arial" w:hAnsi="Arial" w:cs="Arial"/>
        </w:rPr>
        <w:t>A glide path that eases property owners into the full Risk Rating 2.0 premium</w:t>
      </w:r>
    </w:p>
    <w:p w14:paraId="68004529" w14:textId="762ECF5B" w:rsidR="00065921" w:rsidRPr="005E0478" w:rsidRDefault="005E0478" w:rsidP="005E0478">
      <w:pPr>
        <w:ind w:right="431"/>
        <w:rPr>
          <w:rFonts w:ascii="Arial" w:hAnsi="Arial" w:cs="Arial"/>
          <w:b/>
          <w:bCs/>
          <w:color w:val="003A74"/>
          <w:sz w:val="24"/>
          <w:szCs w:val="24"/>
        </w:rPr>
      </w:pPr>
      <w:r w:rsidRPr="005E0478">
        <w:rPr>
          <w:rFonts w:ascii="Arial" w:hAnsi="Arial" w:cs="Arial"/>
          <w:b/>
          <w:bCs/>
          <w:color w:val="003A74"/>
          <w:sz w:val="24"/>
          <w:szCs w:val="24"/>
        </w:rPr>
        <w:t>Remember:</w:t>
      </w:r>
    </w:p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964"/>
      </w:tblGrid>
      <w:tr w:rsidR="00065921" w14:paraId="3D2E5E86" w14:textId="77777777" w:rsidTr="00C935DE">
        <w:trPr>
          <w:trHeight w:val="625"/>
        </w:trPr>
        <w:tc>
          <w:tcPr>
            <w:tcW w:w="1342" w:type="dxa"/>
            <w:vAlign w:val="center"/>
          </w:tcPr>
          <w:p w14:paraId="6D6A2A7B" w14:textId="77777777"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42EE06D8" wp14:editId="40896496">
                  <wp:extent cx="365760" cy="365760"/>
                  <wp:effectExtent l="0" t="0" r="0" b="0"/>
                  <wp:docPr id="18" name="Graphic 18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formation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14:paraId="1CECA2CD" w14:textId="77777777" w:rsidR="00065921" w:rsidRPr="00250B62" w:rsidRDefault="00065921" w:rsidP="00C935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>Just one inch of water in an average-sized home can cause more than $25,000 in damage</w:t>
            </w:r>
          </w:p>
        </w:tc>
      </w:tr>
      <w:tr w:rsidR="00065921" w14:paraId="2F34201E" w14:textId="77777777" w:rsidTr="00C935DE">
        <w:trPr>
          <w:trHeight w:val="1132"/>
        </w:trPr>
        <w:tc>
          <w:tcPr>
            <w:tcW w:w="1342" w:type="dxa"/>
          </w:tcPr>
          <w:p w14:paraId="36ED2288" w14:textId="77777777"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71E49958" wp14:editId="69DBB06A">
                  <wp:extent cx="365760" cy="365760"/>
                  <wp:effectExtent l="0" t="0" r="0" b="0"/>
                  <wp:docPr id="19" name="Graphic 19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pWithPi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14:paraId="73CA33DA" w14:textId="434027EE" w:rsidR="00065921" w:rsidRPr="005E0478" w:rsidRDefault="00065921" w:rsidP="005E0478">
            <w:pPr>
              <w:ind w:right="431"/>
              <w:rPr>
                <w:rFonts w:ascii="Arial" w:hAnsi="Arial" w:cs="Arial"/>
                <w:b/>
                <w:bCs/>
                <w:color w:val="002060"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 xml:space="preserve">Flooding can happen anywhere, not just in </w:t>
            </w:r>
            <w:r>
              <w:rPr>
                <w:rFonts w:ascii="Arial" w:hAnsi="Arial" w:cs="Arial"/>
                <w:b/>
                <w:bCs/>
                <w:color w:val="002060"/>
              </w:rPr>
              <w:t>designated “high-risk” flood zones</w:t>
            </w:r>
          </w:p>
        </w:tc>
      </w:tr>
      <w:tr w:rsidR="00065921" w14:paraId="252DE029" w14:textId="77777777" w:rsidTr="00C935DE">
        <w:trPr>
          <w:trHeight w:val="755"/>
        </w:trPr>
        <w:tc>
          <w:tcPr>
            <w:tcW w:w="1342" w:type="dxa"/>
            <w:vAlign w:val="center"/>
          </w:tcPr>
          <w:p w14:paraId="7DC0E45B" w14:textId="77777777"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drawing>
                <wp:inline distT="0" distB="0" distL="0" distR="0" wp14:anchorId="2C0BBEA2" wp14:editId="599D0472">
                  <wp:extent cx="365760" cy="365760"/>
                  <wp:effectExtent l="0" t="0" r="0" b="0"/>
                  <wp:docPr id="20" name="Graphic 20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rning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14:paraId="6C055F82" w14:textId="77777777" w:rsidR="00065921" w:rsidRDefault="00065921" w:rsidP="00C935DE">
            <w:pPr>
              <w:ind w:right="4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2060"/>
              </w:rPr>
              <w:t>Federal disaster assistance is not available for most flood events and is typically given in the form of an interest-bearing loan</w:t>
            </w:r>
          </w:p>
        </w:tc>
      </w:tr>
      <w:tr w:rsidR="00065921" w14:paraId="155AFBE0" w14:textId="77777777" w:rsidTr="00C935DE">
        <w:trPr>
          <w:trHeight w:val="576"/>
        </w:trPr>
        <w:tc>
          <w:tcPr>
            <w:tcW w:w="1342" w:type="dxa"/>
            <w:vAlign w:val="center"/>
          </w:tcPr>
          <w:p w14:paraId="6BFD47F4" w14:textId="77777777" w:rsidR="00065921" w:rsidRDefault="00065921" w:rsidP="00C935DE">
            <w:pPr>
              <w:ind w:right="431"/>
              <w:jc w:val="center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C08112" wp14:editId="2F2492D1">
                  <wp:extent cx="365760" cy="365760"/>
                  <wp:effectExtent l="0" t="0" r="0" b="0"/>
                  <wp:docPr id="21" name="Graphic 21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us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14:paraId="6EBE4B48" w14:textId="1EDD6BBE" w:rsidR="00065921" w:rsidRDefault="00065921" w:rsidP="00C935DE">
            <w:pPr>
              <w:ind w:right="431"/>
              <w:jc w:val="center"/>
              <w:rPr>
                <w:rFonts w:ascii="Arial" w:hAnsi="Arial" w:cs="Arial"/>
                <w:b/>
                <w:color w:val="002060"/>
              </w:rPr>
            </w:pPr>
            <w:r w:rsidRPr="001C6592">
              <w:rPr>
                <w:rFonts w:ascii="Arial" w:hAnsi="Arial" w:cs="Arial"/>
                <w:b/>
                <w:bCs/>
                <w:color w:val="002060"/>
              </w:rPr>
              <w:t xml:space="preserve">Your homeowners insurance </w:t>
            </w:r>
            <w:r w:rsidR="005E0478">
              <w:rPr>
                <w:rFonts w:ascii="Arial" w:hAnsi="Arial" w:cs="Arial"/>
                <w:b/>
                <w:bCs/>
                <w:color w:val="002060"/>
              </w:rPr>
              <w:t xml:space="preserve">does </w:t>
            </w:r>
            <w:r w:rsidRPr="001C6592">
              <w:rPr>
                <w:rFonts w:ascii="Arial" w:hAnsi="Arial" w:cs="Arial"/>
                <w:b/>
                <w:bCs/>
                <w:color w:val="002060"/>
              </w:rPr>
              <w:t>not protect you from flood damage</w:t>
            </w:r>
          </w:p>
        </w:tc>
      </w:tr>
    </w:tbl>
    <w:p w14:paraId="5E7D7772" w14:textId="77777777" w:rsidR="00065921" w:rsidRPr="005E0478" w:rsidRDefault="00065921" w:rsidP="005E0478">
      <w:pPr>
        <w:spacing w:line="240" w:lineRule="auto"/>
        <w:ind w:right="419"/>
        <w:rPr>
          <w:rFonts w:ascii="Arial" w:hAnsi="Arial" w:cs="Arial"/>
          <w:sz w:val="16"/>
          <w:szCs w:val="16"/>
        </w:rPr>
      </w:pPr>
    </w:p>
    <w:p w14:paraId="0E5C3DAA" w14:textId="77777777" w:rsidR="00065921" w:rsidRDefault="00065921" w:rsidP="00065921">
      <w:pPr>
        <w:ind w:right="419"/>
        <w:rPr>
          <w:rFonts w:ascii="Arial" w:hAnsi="Arial" w:cs="Arial"/>
        </w:rPr>
      </w:pPr>
      <w:r w:rsidRPr="005070BE">
        <w:rPr>
          <w:rFonts w:ascii="Arial" w:hAnsi="Arial" w:cs="Arial"/>
        </w:rPr>
        <w:t xml:space="preserve">Please feel free to reach out with any questions, or to learn more about </w:t>
      </w:r>
      <w:r>
        <w:rPr>
          <w:rFonts w:ascii="Arial" w:hAnsi="Arial" w:cs="Arial"/>
        </w:rPr>
        <w:t>your</w:t>
      </w:r>
      <w:r w:rsidRPr="00507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flood insurance options</w:t>
      </w:r>
      <w:r w:rsidRPr="005070BE">
        <w:rPr>
          <w:rFonts w:ascii="Arial" w:hAnsi="Arial" w:cs="Arial"/>
        </w:rPr>
        <w:t xml:space="preserve">. </w:t>
      </w:r>
    </w:p>
    <w:p w14:paraId="03B64FCB" w14:textId="49C29D6F" w:rsidR="005678A2" w:rsidRDefault="005678A2" w:rsidP="00491B7F">
      <w:pPr>
        <w:rPr>
          <w:rFonts w:ascii="Arial" w:hAnsi="Arial" w:cs="Arial"/>
        </w:rPr>
      </w:pPr>
      <w:r>
        <w:rPr>
          <w:rFonts w:ascii="Arial" w:hAnsi="Arial" w:cs="Arial"/>
        </w:rPr>
        <w:t>Best,</w:t>
      </w:r>
      <w:r w:rsidR="005E0478" w:rsidRPr="005E047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14:paraId="23ECD956" w14:textId="77777777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14:paraId="041FD898" w14:textId="77777777"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9211865" wp14:editId="75B1A491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14:paraId="54C4FB63" w14:textId="77777777"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14:paraId="72E5A6D2" w14:textId="77777777" w:rsidTr="00065921">
        <w:tc>
          <w:tcPr>
            <w:tcW w:w="2232" w:type="dxa"/>
            <w:vMerge/>
          </w:tcPr>
          <w:p w14:paraId="505A7FF3" w14:textId="77777777"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338C2C22FE354C03BDEE496E6DEC9951"/>
              </w:placeholder>
              <w:showingPlcHdr/>
            </w:sdtPr>
            <w:sdtContent>
              <w:p w14:paraId="3170C9C2" w14:textId="77777777" w:rsidR="005E0478" w:rsidRDefault="005E0478" w:rsidP="005E0478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591B98864F0F431C95D1F8839D40466C"/>
              </w:placeholder>
              <w:showingPlcHdr/>
            </w:sdtPr>
            <w:sdtContent>
              <w:p w14:paraId="3AEB6099" w14:textId="24486062" w:rsidR="005678A2" w:rsidRDefault="005E0478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</w:tc>
      </w:tr>
      <w:tr w:rsidR="005678A2" w14:paraId="4C00372F" w14:textId="77777777" w:rsidTr="00065921">
        <w:tc>
          <w:tcPr>
            <w:tcW w:w="2232" w:type="dxa"/>
            <w:vMerge/>
          </w:tcPr>
          <w:p w14:paraId="6F3DACF0" w14:textId="77777777"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14:paraId="3F376A92" w14:textId="53AAE8A9"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14:paraId="3F51DF3D" w14:textId="77777777"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2D31B4"/>
    <w:multiLevelType w:val="hybridMultilevel"/>
    <w:tmpl w:val="E3B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TC1MDY3NzGwNDBQ0lEKTi0uzszPAykwrAUAvaB4piwAAAA="/>
  </w:docVars>
  <w:rsids>
    <w:rsidRoot w:val="005678A2"/>
    <w:rsid w:val="00065921"/>
    <w:rsid w:val="00377846"/>
    <w:rsid w:val="00491B7F"/>
    <w:rsid w:val="005678A2"/>
    <w:rsid w:val="005E0478"/>
    <w:rsid w:val="00727E56"/>
    <w:rsid w:val="009C17F2"/>
    <w:rsid w:val="009F4214"/>
    <w:rsid w:val="00C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A206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  <w:style w:type="paragraph" w:styleId="ListParagraph">
    <w:name w:val="List Paragraph"/>
    <w:basedOn w:val="Normal"/>
    <w:uiPriority w:val="34"/>
    <w:qFormat/>
    <w:rsid w:val="005E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E72293" w:rsidRDefault="00E72293" w:rsidP="00E72293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E72293" w:rsidRDefault="00E72293" w:rsidP="00E72293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4940031EE03841DCBB8F683D5552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4FF1-24CC-4D9A-A919-DCFF9E34101C}"/>
      </w:docPartPr>
      <w:docPartBody>
        <w:p w:rsidR="00E72293" w:rsidRDefault="00E72293" w:rsidP="00E72293">
          <w:pPr>
            <w:pStyle w:val="4940031EE03841DCBB8F683D55522C7F1"/>
          </w:pPr>
          <w:r w:rsidRPr="00065921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  <w:docPart>
      <w:docPartPr>
        <w:name w:val="338C2C22FE354C03BDEE496E6DEC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30E7-9A41-4F62-B215-7C756CE2BB86}"/>
      </w:docPartPr>
      <w:docPartBody>
        <w:p w:rsidR="00000000" w:rsidRDefault="007F3721" w:rsidP="007F3721">
          <w:pPr>
            <w:pStyle w:val="338C2C22FE354C03BDEE496E6DEC995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591B98864F0F431C95D1F8839D40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E1FC-4C25-4708-B270-CDD3CCA07D46}"/>
      </w:docPartPr>
      <w:docPartBody>
        <w:p w:rsidR="00000000" w:rsidRDefault="007F3721" w:rsidP="007F3721">
          <w:pPr>
            <w:pStyle w:val="591B98864F0F431C95D1F8839D40466C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7F3721"/>
    <w:rsid w:val="00E72293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7F3721"/>
    <w:rPr>
      <w:color w:val="808080"/>
    </w:rPr>
  </w:style>
  <w:style w:type="paragraph" w:customStyle="1" w:styleId="338C2C22FE354C03BDEE496E6DEC9951">
    <w:name w:val="338C2C22FE354C03BDEE496E6DEC9951"/>
    <w:rsid w:val="007F3721"/>
  </w:style>
  <w:style w:type="paragraph" w:customStyle="1" w:styleId="591B98864F0F431C95D1F8839D40466C">
    <w:name w:val="591B98864F0F431C95D1F8839D40466C"/>
    <w:rsid w:val="007F3721"/>
  </w:style>
  <w:style w:type="paragraph" w:customStyle="1" w:styleId="0C3F9FDC1947474AB801A5390D546ABC">
    <w:name w:val="0C3F9FDC1947474AB801A5390D546ABC"/>
    <w:rsid w:val="007F3721"/>
  </w:style>
  <w:style w:type="paragraph" w:customStyle="1" w:styleId="9D29E26F04AE4DABA9CF6507605689A5">
    <w:name w:val="9D29E26F04AE4DABA9CF6507605689A5"/>
    <w:rsid w:val="007F3721"/>
  </w:style>
  <w:style w:type="paragraph" w:customStyle="1" w:styleId="4940031EE03841DCBB8F683D55522C7F1">
    <w:name w:val="4940031EE03841DCBB8F683D55522C7F1"/>
    <w:rsid w:val="00E72293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E72293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E72293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E72293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E7229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3</cp:revision>
  <dcterms:created xsi:type="dcterms:W3CDTF">2021-07-29T16:35:00Z</dcterms:created>
  <dcterms:modified xsi:type="dcterms:W3CDTF">2021-07-29T16:36:00Z</dcterms:modified>
</cp:coreProperties>
</file>